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B2" w:rsidRPr="00737EB2" w:rsidRDefault="00737EB2" w:rsidP="005E3E07">
      <w:pPr>
        <w:pStyle w:val="DefaultText"/>
        <w:jc w:val="center"/>
        <w:rPr>
          <w:b/>
          <w:bCs/>
          <w:iCs/>
          <w:sz w:val="28"/>
          <w:szCs w:val="28"/>
        </w:rPr>
      </w:pPr>
      <w:r w:rsidRPr="00737EB2">
        <w:rPr>
          <w:b/>
          <w:bCs/>
          <w:iCs/>
          <w:sz w:val="28"/>
          <w:szCs w:val="28"/>
        </w:rPr>
        <w:t xml:space="preserve">CRS </w:t>
      </w:r>
      <w:r w:rsidR="00A62E61">
        <w:rPr>
          <w:b/>
          <w:bCs/>
          <w:iCs/>
          <w:sz w:val="28"/>
          <w:szCs w:val="28"/>
        </w:rPr>
        <w:t xml:space="preserve">CONFERENCE </w:t>
      </w:r>
      <w:r w:rsidRPr="00737EB2">
        <w:rPr>
          <w:b/>
          <w:bCs/>
          <w:iCs/>
          <w:sz w:val="28"/>
          <w:szCs w:val="28"/>
        </w:rPr>
        <w:t>TRAVEL POLICY</w:t>
      </w:r>
    </w:p>
    <w:p w:rsidR="00737EB2" w:rsidRDefault="00737EB2" w:rsidP="00737EB2">
      <w:pPr>
        <w:pStyle w:val="DefaultText"/>
        <w:rPr>
          <w:b/>
          <w:bCs/>
          <w:iCs/>
          <w:sz w:val="32"/>
          <w:szCs w:val="32"/>
        </w:rPr>
      </w:pPr>
    </w:p>
    <w:p w:rsidR="00737EB2" w:rsidRDefault="00737EB2" w:rsidP="00737EB2">
      <w:pPr>
        <w:pStyle w:val="Default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Updated 2015</w:t>
      </w:r>
    </w:p>
    <w:p w:rsidR="00737EB2" w:rsidRDefault="00737EB2" w:rsidP="00737EB2">
      <w:pPr>
        <w:pStyle w:val="Default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Charles E. Morris III, Chair</w:t>
      </w:r>
    </w:p>
    <w:p w:rsidR="00737EB2" w:rsidRDefault="00737EB2" w:rsidP="00A62E61">
      <w:pPr>
        <w:pStyle w:val="DefaultText"/>
        <w:jc w:val="both"/>
        <w:rPr>
          <w:bCs/>
          <w:iCs/>
          <w:sz w:val="24"/>
          <w:szCs w:val="24"/>
        </w:rPr>
      </w:pPr>
    </w:p>
    <w:p w:rsidR="007E6649" w:rsidRDefault="00A62E61" w:rsidP="00A150F7">
      <w:pPr>
        <w:pStyle w:val="DefaultTex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Travel to research conferences is a staple of professional academic life, providing valuable opportunities to present and receive feedback on one’s scholarship; to engage the scholarship of others; to serve in leadership roles; to network and recruit; to gain visibility and to promote</w:t>
      </w:r>
      <w:r w:rsidR="007E6649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737EB2">
        <w:rPr>
          <w:bCs/>
          <w:iCs/>
          <w:sz w:val="24"/>
          <w:szCs w:val="24"/>
        </w:rPr>
        <w:t>The CRS Travel Policy was last updated in 2004, its particulars reflecting the context in which the department existed a decade ago. Here please find a revised policy based on the current state</w:t>
      </w:r>
      <w:r>
        <w:rPr>
          <w:bCs/>
          <w:iCs/>
          <w:sz w:val="24"/>
          <w:szCs w:val="24"/>
        </w:rPr>
        <w:t xml:space="preserve"> of the department (economic circumstances, size of faculty, research/conference</w:t>
      </w:r>
      <w:r w:rsidR="00941412">
        <w:rPr>
          <w:bCs/>
          <w:iCs/>
          <w:sz w:val="24"/>
          <w:szCs w:val="24"/>
        </w:rPr>
        <w:t xml:space="preserve"> profile of faculty, etc.). This</w:t>
      </w:r>
      <w:r>
        <w:rPr>
          <w:bCs/>
          <w:iCs/>
          <w:sz w:val="24"/>
          <w:szCs w:val="24"/>
        </w:rPr>
        <w:t xml:space="preserve"> policy will always be subject to revision depending on the contextual factors that shape the state of the department.</w:t>
      </w:r>
      <w:r w:rsidR="007E6649">
        <w:rPr>
          <w:bCs/>
          <w:iCs/>
          <w:sz w:val="24"/>
          <w:szCs w:val="24"/>
        </w:rPr>
        <w:t xml:space="preserve"> </w:t>
      </w:r>
      <w:r w:rsidR="006C761F">
        <w:rPr>
          <w:bCs/>
          <w:iCs/>
          <w:sz w:val="24"/>
          <w:szCs w:val="24"/>
        </w:rPr>
        <w:t xml:space="preserve">Please note that CRS cannot pay for membership or registration fees. </w:t>
      </w:r>
    </w:p>
    <w:p w:rsidR="007E6649" w:rsidRDefault="007E6649" w:rsidP="00A150F7">
      <w:pPr>
        <w:pStyle w:val="DefaultText"/>
        <w:rPr>
          <w:bCs/>
          <w:iCs/>
          <w:sz w:val="24"/>
          <w:szCs w:val="24"/>
        </w:rPr>
      </w:pPr>
    </w:p>
    <w:p w:rsidR="007E6649" w:rsidRDefault="007E6649" w:rsidP="0034020B">
      <w:pPr>
        <w:pStyle w:val="DefaultText"/>
        <w:numPr>
          <w:ilvl w:val="0"/>
          <w:numId w:val="7"/>
        </w:numPr>
        <w:rPr>
          <w:bCs/>
          <w:iCs/>
          <w:sz w:val="24"/>
          <w:szCs w:val="24"/>
        </w:rPr>
      </w:pPr>
      <w:r w:rsidRPr="0034020B">
        <w:rPr>
          <w:bCs/>
          <w:i/>
          <w:iCs/>
          <w:sz w:val="24"/>
          <w:szCs w:val="24"/>
        </w:rPr>
        <w:t xml:space="preserve">Primary </w:t>
      </w:r>
      <w:r w:rsidR="005E3E07">
        <w:rPr>
          <w:bCs/>
          <w:i/>
          <w:iCs/>
          <w:sz w:val="24"/>
          <w:szCs w:val="24"/>
        </w:rPr>
        <w:t xml:space="preserve">Faculty </w:t>
      </w:r>
      <w:r w:rsidRPr="0034020B">
        <w:rPr>
          <w:bCs/>
          <w:i/>
          <w:iCs/>
          <w:sz w:val="24"/>
          <w:szCs w:val="24"/>
        </w:rPr>
        <w:t>Funding</w:t>
      </w:r>
      <w:r>
        <w:rPr>
          <w:bCs/>
          <w:iCs/>
          <w:sz w:val="24"/>
          <w:szCs w:val="24"/>
        </w:rPr>
        <w:t xml:space="preserve">. Faculty who are presenting research at </w:t>
      </w:r>
      <w:r w:rsidR="00A150F7">
        <w:rPr>
          <w:bCs/>
          <w:iCs/>
          <w:sz w:val="24"/>
          <w:szCs w:val="24"/>
        </w:rPr>
        <w:t xml:space="preserve">domestic national, regional, or specialty </w:t>
      </w:r>
      <w:r>
        <w:rPr>
          <w:bCs/>
          <w:iCs/>
          <w:sz w:val="24"/>
          <w:szCs w:val="24"/>
        </w:rPr>
        <w:t xml:space="preserve">conferences—accepted through competitive </w:t>
      </w:r>
      <w:r w:rsidR="00A150F7">
        <w:rPr>
          <w:bCs/>
          <w:iCs/>
          <w:sz w:val="24"/>
          <w:szCs w:val="24"/>
        </w:rPr>
        <w:t xml:space="preserve">submission; </w:t>
      </w:r>
      <w:r>
        <w:rPr>
          <w:bCs/>
          <w:iCs/>
          <w:sz w:val="24"/>
          <w:szCs w:val="24"/>
        </w:rPr>
        <w:t>invited for keynote, plenary, spotlight session</w:t>
      </w:r>
      <w:r w:rsidR="00A150F7">
        <w:rPr>
          <w:bCs/>
          <w:iCs/>
          <w:sz w:val="24"/>
          <w:szCs w:val="24"/>
        </w:rPr>
        <w:t xml:space="preserve">; or other circumstances subject to approval—can </w:t>
      </w:r>
      <w:r w:rsidR="00941412">
        <w:rPr>
          <w:bCs/>
          <w:iCs/>
          <w:sz w:val="24"/>
          <w:szCs w:val="24"/>
        </w:rPr>
        <w:t xml:space="preserve">receive </w:t>
      </w:r>
      <w:r w:rsidR="00A150F7">
        <w:rPr>
          <w:bCs/>
          <w:iCs/>
          <w:sz w:val="24"/>
          <w:szCs w:val="24"/>
        </w:rPr>
        <w:t xml:space="preserve">majority funding for two trips per academic year (reimbursable expenses governed by the SU Travel Policy: </w:t>
      </w:r>
      <w:hyperlink r:id="rId5" w:history="1">
        <w:r w:rsidR="00A150F7" w:rsidRPr="000E41D4">
          <w:rPr>
            <w:rStyle w:val="Hyperlink"/>
            <w:bCs/>
            <w:iCs/>
            <w:sz w:val="24"/>
            <w:szCs w:val="24"/>
          </w:rPr>
          <w:t>http://supolicies.syr.edu/admin/travel.htm</w:t>
        </w:r>
      </w:hyperlink>
      <w:r w:rsidR="00A150F7">
        <w:rPr>
          <w:bCs/>
          <w:iCs/>
          <w:sz w:val="24"/>
          <w:szCs w:val="24"/>
        </w:rPr>
        <w:t>). Faculty presenting at international conferences, which typically are substantially more expensive</w:t>
      </w:r>
      <w:r w:rsidR="00E415B7">
        <w:rPr>
          <w:bCs/>
          <w:iCs/>
          <w:sz w:val="24"/>
          <w:szCs w:val="24"/>
        </w:rPr>
        <w:t xml:space="preserve">, can </w:t>
      </w:r>
      <w:r w:rsidR="00941412">
        <w:rPr>
          <w:bCs/>
          <w:iCs/>
          <w:sz w:val="24"/>
          <w:szCs w:val="24"/>
        </w:rPr>
        <w:t xml:space="preserve">receive </w:t>
      </w:r>
      <w:r w:rsidR="00E415B7">
        <w:rPr>
          <w:bCs/>
          <w:iCs/>
          <w:sz w:val="24"/>
          <w:szCs w:val="24"/>
        </w:rPr>
        <w:t xml:space="preserve">one funded conference per academic year. </w:t>
      </w:r>
      <w:r w:rsidR="0034020B">
        <w:rPr>
          <w:bCs/>
          <w:iCs/>
          <w:sz w:val="24"/>
          <w:szCs w:val="24"/>
        </w:rPr>
        <w:t xml:space="preserve">Faculty members not presenting research but engaged in other activities such as pre-conference seminars, workshops, serving as panel respondent or chair, </w:t>
      </w:r>
      <w:r w:rsidR="00941412">
        <w:rPr>
          <w:bCs/>
          <w:iCs/>
          <w:sz w:val="24"/>
          <w:szCs w:val="24"/>
        </w:rPr>
        <w:t>can receive</w:t>
      </w:r>
      <w:r w:rsidR="0034020B">
        <w:rPr>
          <w:bCs/>
          <w:iCs/>
          <w:sz w:val="24"/>
          <w:szCs w:val="24"/>
        </w:rPr>
        <w:t xml:space="preserve"> one funded conference per year. </w:t>
      </w:r>
    </w:p>
    <w:p w:rsidR="0034020B" w:rsidRDefault="0034020B" w:rsidP="0034020B">
      <w:pPr>
        <w:pStyle w:val="DefaultText"/>
        <w:rPr>
          <w:bCs/>
          <w:iCs/>
          <w:sz w:val="24"/>
          <w:szCs w:val="24"/>
        </w:rPr>
      </w:pPr>
    </w:p>
    <w:p w:rsidR="0034020B" w:rsidRDefault="0034020B" w:rsidP="0034020B">
      <w:pPr>
        <w:pStyle w:val="DefaultText"/>
        <w:numPr>
          <w:ilvl w:val="0"/>
          <w:numId w:val="7"/>
        </w:numPr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Supplemental</w:t>
      </w:r>
      <w:r w:rsidRPr="0034020B">
        <w:rPr>
          <w:bCs/>
          <w:i/>
          <w:iCs/>
          <w:sz w:val="24"/>
          <w:szCs w:val="24"/>
        </w:rPr>
        <w:t xml:space="preserve"> </w:t>
      </w:r>
      <w:r w:rsidR="005E3E07">
        <w:rPr>
          <w:bCs/>
          <w:i/>
          <w:iCs/>
          <w:sz w:val="24"/>
          <w:szCs w:val="24"/>
        </w:rPr>
        <w:t xml:space="preserve">Faculty </w:t>
      </w:r>
      <w:r w:rsidRPr="0034020B">
        <w:rPr>
          <w:bCs/>
          <w:i/>
          <w:iCs/>
          <w:sz w:val="24"/>
          <w:szCs w:val="24"/>
        </w:rPr>
        <w:t>Funding and Special Circumstances</w:t>
      </w:r>
      <w:r>
        <w:rPr>
          <w:bCs/>
          <w:iCs/>
          <w:sz w:val="24"/>
          <w:szCs w:val="24"/>
        </w:rPr>
        <w:t xml:space="preserve">. Faculty presenting research at more than two conferences </w:t>
      </w:r>
      <w:r w:rsidR="006C761F">
        <w:rPr>
          <w:bCs/>
          <w:iCs/>
          <w:sz w:val="24"/>
          <w:szCs w:val="24"/>
        </w:rPr>
        <w:t xml:space="preserve">per academic year </w:t>
      </w:r>
      <w:r>
        <w:rPr>
          <w:bCs/>
          <w:iCs/>
          <w:sz w:val="24"/>
          <w:szCs w:val="24"/>
        </w:rPr>
        <w:t xml:space="preserve">can apply for </w:t>
      </w:r>
      <w:r w:rsidR="00941412">
        <w:rPr>
          <w:bCs/>
          <w:iCs/>
          <w:sz w:val="24"/>
          <w:szCs w:val="24"/>
        </w:rPr>
        <w:t xml:space="preserve">additional </w:t>
      </w:r>
      <w:r>
        <w:rPr>
          <w:bCs/>
          <w:iCs/>
          <w:sz w:val="24"/>
          <w:szCs w:val="24"/>
        </w:rPr>
        <w:t xml:space="preserve">funding, </w:t>
      </w:r>
      <w:r w:rsidR="005E3E07">
        <w:rPr>
          <w:bCs/>
          <w:iCs/>
          <w:sz w:val="24"/>
          <w:szCs w:val="24"/>
        </w:rPr>
        <w:t>approval dependent upon</w:t>
      </w:r>
      <w:r>
        <w:rPr>
          <w:bCs/>
          <w:iCs/>
          <w:sz w:val="24"/>
          <w:szCs w:val="24"/>
        </w:rPr>
        <w:t xml:space="preserve"> resource availability, number of requests</w:t>
      </w:r>
      <w:r w:rsidR="00941412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and approval by the chair. In years in which multiple faculty apply for</w:t>
      </w:r>
      <w:r w:rsidR="00941412">
        <w:rPr>
          <w:bCs/>
          <w:iCs/>
          <w:sz w:val="24"/>
          <w:szCs w:val="24"/>
        </w:rPr>
        <w:t xml:space="preserve"> supplemental funds the chair will prioritize allotments based on applications, and seek to achieve equity of distribution (though it may take more than one academic year</w:t>
      </w:r>
      <w:r w:rsidR="006C761F">
        <w:rPr>
          <w:bCs/>
          <w:iCs/>
          <w:sz w:val="24"/>
          <w:szCs w:val="24"/>
        </w:rPr>
        <w:t xml:space="preserve"> to achieve</w:t>
      </w:r>
      <w:r w:rsidR="00941412">
        <w:rPr>
          <w:bCs/>
          <w:iCs/>
          <w:sz w:val="24"/>
          <w:szCs w:val="24"/>
        </w:rPr>
        <w:t>).</w:t>
      </w:r>
      <w:r w:rsidR="006C761F">
        <w:rPr>
          <w:bCs/>
          <w:iCs/>
          <w:sz w:val="24"/>
          <w:szCs w:val="24"/>
        </w:rPr>
        <w:t xml:space="preserve"> In some special circumstances</w:t>
      </w:r>
      <w:r>
        <w:rPr>
          <w:bCs/>
          <w:iCs/>
          <w:sz w:val="24"/>
          <w:szCs w:val="24"/>
        </w:rPr>
        <w:t xml:space="preserve"> research active faculty </w:t>
      </w:r>
      <w:r w:rsidR="00941412">
        <w:rPr>
          <w:bCs/>
          <w:iCs/>
          <w:sz w:val="24"/>
          <w:szCs w:val="24"/>
        </w:rPr>
        <w:t xml:space="preserve">may apply for funding to attend conferences at which they are not on the program. </w:t>
      </w:r>
    </w:p>
    <w:p w:rsidR="00941412" w:rsidRDefault="00941412" w:rsidP="00941412">
      <w:pPr>
        <w:pStyle w:val="ListParagraph"/>
        <w:rPr>
          <w:bCs/>
          <w:iCs/>
        </w:rPr>
      </w:pPr>
    </w:p>
    <w:p w:rsidR="005E3E07" w:rsidRDefault="00941412" w:rsidP="005E3E07">
      <w:pPr>
        <w:pStyle w:val="DefaultText"/>
        <w:numPr>
          <w:ilvl w:val="0"/>
          <w:numId w:val="7"/>
        </w:numPr>
        <w:rPr>
          <w:bCs/>
          <w:iCs/>
          <w:sz w:val="24"/>
          <w:szCs w:val="24"/>
        </w:rPr>
      </w:pPr>
      <w:r w:rsidRPr="005E3E07">
        <w:rPr>
          <w:bCs/>
          <w:i/>
          <w:iCs/>
          <w:sz w:val="24"/>
          <w:szCs w:val="24"/>
        </w:rPr>
        <w:t>Graduate Student Funding</w:t>
      </w:r>
      <w:r>
        <w:rPr>
          <w:bCs/>
          <w:iCs/>
          <w:sz w:val="24"/>
          <w:szCs w:val="24"/>
        </w:rPr>
        <w:t xml:space="preserve">. Students presenting research accepted for national, regional, or other appropriate and reputable conferences, subject to pre-approval by 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advisor and chair, can receive majority funding for one conference per academic year. Students will be </w:t>
      </w:r>
      <w:r w:rsidR="005E3E07">
        <w:rPr>
          <w:bCs/>
          <w:iCs/>
          <w:sz w:val="24"/>
          <w:szCs w:val="24"/>
        </w:rPr>
        <w:t>expected in each instance to simultaneously apply for other supportive funds from the CVPA Office of Graduate Research, Graduate Student Organization, and/or other funding sources. Students presenting research at more than one conference, subject to pre-approval by advisor and chair, may seek additional funding; such requests will be prioritized below those of active research faculty.</w:t>
      </w:r>
    </w:p>
    <w:p w:rsidR="005E3E07" w:rsidRDefault="005E3E07" w:rsidP="005E3E07">
      <w:pPr>
        <w:pStyle w:val="ListParagraph"/>
        <w:rPr>
          <w:bCs/>
          <w:iCs/>
        </w:rPr>
      </w:pPr>
    </w:p>
    <w:p w:rsidR="005E3E07" w:rsidRPr="005E3E07" w:rsidRDefault="005E3E07" w:rsidP="005E3E07">
      <w:pPr>
        <w:pStyle w:val="DefaultText"/>
        <w:numPr>
          <w:ilvl w:val="0"/>
          <w:numId w:val="7"/>
        </w:numPr>
        <w:rPr>
          <w:bCs/>
          <w:iCs/>
          <w:sz w:val="24"/>
          <w:szCs w:val="24"/>
        </w:rPr>
      </w:pPr>
      <w:r w:rsidRPr="005E3E07">
        <w:rPr>
          <w:bCs/>
          <w:i/>
          <w:iCs/>
          <w:sz w:val="24"/>
          <w:szCs w:val="24"/>
        </w:rPr>
        <w:t>Travel Request Form</w:t>
      </w:r>
      <w:r>
        <w:rPr>
          <w:bCs/>
          <w:iCs/>
          <w:sz w:val="24"/>
          <w:szCs w:val="24"/>
        </w:rPr>
        <w:t>. For budgetary reasons, a</w:t>
      </w:r>
      <w:r w:rsidRPr="005E3E07">
        <w:rPr>
          <w:bCs/>
          <w:iCs/>
          <w:sz w:val="24"/>
          <w:szCs w:val="24"/>
        </w:rPr>
        <w:t xml:space="preserve">ll requests for funding, primary or supplemental, must be submitted through a CRS Travel Request Form </w:t>
      </w:r>
      <w:r w:rsidRPr="005E3E07">
        <w:rPr>
          <w:bCs/>
          <w:i/>
          <w:iCs/>
          <w:sz w:val="24"/>
          <w:szCs w:val="24"/>
        </w:rPr>
        <w:t>three months</w:t>
      </w:r>
      <w:r w:rsidRPr="005E3E07">
        <w:rPr>
          <w:bCs/>
          <w:iCs/>
          <w:sz w:val="24"/>
          <w:szCs w:val="24"/>
        </w:rPr>
        <w:t xml:space="preserve"> in advance of scheduled travel. </w:t>
      </w:r>
    </w:p>
    <w:p w:rsidR="007E6649" w:rsidRDefault="007E6649" w:rsidP="007E6649">
      <w:pPr>
        <w:pStyle w:val="DefaultText"/>
        <w:jc w:val="both"/>
        <w:rPr>
          <w:bCs/>
          <w:iCs/>
          <w:sz w:val="24"/>
          <w:szCs w:val="24"/>
        </w:rPr>
      </w:pPr>
    </w:p>
    <w:p w:rsidR="00A62E61" w:rsidRDefault="00A62E61" w:rsidP="00737EB2">
      <w:pPr>
        <w:pStyle w:val="DefaultText"/>
        <w:rPr>
          <w:bCs/>
          <w:iCs/>
          <w:sz w:val="24"/>
          <w:szCs w:val="24"/>
        </w:rPr>
      </w:pPr>
    </w:p>
    <w:p w:rsidR="00737EB2" w:rsidRPr="00761466" w:rsidRDefault="00737EB2" w:rsidP="00737EB2">
      <w:pPr>
        <w:pStyle w:val="DefaultText"/>
        <w:rPr>
          <w:sz w:val="24"/>
          <w:szCs w:val="24"/>
        </w:rPr>
      </w:pPr>
    </w:p>
    <w:p w:rsidR="002930CF" w:rsidRDefault="002930CF"/>
    <w:sectPr w:rsidR="0029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5B8F"/>
    <w:multiLevelType w:val="singleLevel"/>
    <w:tmpl w:val="0C9C402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B5842"/>
    <w:multiLevelType w:val="singleLevel"/>
    <w:tmpl w:val="0C9C402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7286F"/>
    <w:multiLevelType w:val="hybridMultilevel"/>
    <w:tmpl w:val="3754F1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65F0"/>
    <w:multiLevelType w:val="singleLevel"/>
    <w:tmpl w:val="0C9C402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26B54"/>
    <w:multiLevelType w:val="singleLevel"/>
    <w:tmpl w:val="0C9C402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87930"/>
    <w:multiLevelType w:val="hybridMultilevel"/>
    <w:tmpl w:val="049C1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C4AAA"/>
    <w:multiLevelType w:val="hybridMultilevel"/>
    <w:tmpl w:val="9BBE6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B2"/>
    <w:rsid w:val="002930CF"/>
    <w:rsid w:val="0034020B"/>
    <w:rsid w:val="005E3E07"/>
    <w:rsid w:val="006C761F"/>
    <w:rsid w:val="00737EB2"/>
    <w:rsid w:val="007E6649"/>
    <w:rsid w:val="00941412"/>
    <w:rsid w:val="00A150F7"/>
    <w:rsid w:val="00A62E61"/>
    <w:rsid w:val="00E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F8C19-3A3D-4F12-9FC0-520545DA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37EB2"/>
    <w:pPr>
      <w:autoSpaceDE w:val="0"/>
      <w:autoSpaceDN w:val="0"/>
      <w:adjustRightInd w:val="0"/>
      <w:jc w:val="left"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50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policies.syr.edu/admin/trav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 Morris III</dc:creator>
  <cp:keywords/>
  <dc:description/>
  <cp:lastModifiedBy>Charles E Morris III</cp:lastModifiedBy>
  <cp:revision>2</cp:revision>
  <dcterms:created xsi:type="dcterms:W3CDTF">2015-07-20T14:48:00Z</dcterms:created>
  <dcterms:modified xsi:type="dcterms:W3CDTF">2015-07-21T14:29:00Z</dcterms:modified>
</cp:coreProperties>
</file>